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1034" w14:textId="237D2833" w:rsidR="00ED3469" w:rsidRDefault="00ED3469" w:rsidP="00ED3469">
      <w:pPr>
        <w:spacing w:line="276" w:lineRule="auto"/>
        <w:ind w:left="720" w:hanging="360"/>
        <w:jc w:val="center"/>
        <w:rPr>
          <w:rFonts w:ascii="Open Sans SemiBold" w:hAnsi="Open Sans SemiBold" w:cs="Open Sans SemiBold"/>
          <w:sz w:val="28"/>
          <w:szCs w:val="28"/>
          <w:u w:val="single"/>
        </w:rPr>
      </w:pPr>
      <w:r w:rsidRPr="00DD66CF">
        <w:rPr>
          <w:rFonts w:ascii="Open Sans Light" w:hAnsi="Open Sans Light" w:cs="Open Sans Light"/>
          <w:noProof/>
          <w:sz w:val="28"/>
          <w:szCs w:val="28"/>
        </w:rPr>
        <w:drawing>
          <wp:anchor distT="0" distB="0" distL="114300" distR="114300" simplePos="0" relativeHeight="251665408" behindDoc="1" locked="0" layoutInCell="1" allowOverlap="1" wp14:anchorId="111AC33B" wp14:editId="587172ED">
            <wp:simplePos x="0" y="0"/>
            <wp:positionH relativeFrom="column">
              <wp:posOffset>-904875</wp:posOffset>
            </wp:positionH>
            <wp:positionV relativeFrom="paragraph">
              <wp:posOffset>-333376</wp:posOffset>
            </wp:positionV>
            <wp:extent cx="7781925" cy="184571"/>
            <wp:effectExtent l="0" t="0" r="0" b="6350"/>
            <wp:wrapNone/>
            <wp:docPr id="8" name="Content Placeholder 6" descr="A close up of a logo&#10;&#10;Description automatically generated">
              <a:extLst xmlns:a="http://schemas.openxmlformats.org/drawingml/2006/main">
                <a:ext uri="{FF2B5EF4-FFF2-40B4-BE49-F238E27FC236}">
                  <a16:creationId xmlns:a16="http://schemas.microsoft.com/office/drawing/2014/main" id="{B7744446-0193-4968-9463-B6316247F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close up of a logo&#10;&#10;Description automatically generated">
                      <a:extLst>
                        <a:ext uri="{FF2B5EF4-FFF2-40B4-BE49-F238E27FC236}">
                          <a16:creationId xmlns:a16="http://schemas.microsoft.com/office/drawing/2014/main" id="{B7744446-0193-4968-9463-B6316247F9D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9859" cy="218676"/>
                    </a:xfrm>
                    <a:prstGeom prst="rect">
                      <a:avLst/>
                    </a:prstGeom>
                  </pic:spPr>
                </pic:pic>
              </a:graphicData>
            </a:graphic>
            <wp14:sizeRelH relativeFrom="page">
              <wp14:pctWidth>0</wp14:pctWidth>
            </wp14:sizeRelH>
            <wp14:sizeRelV relativeFrom="page">
              <wp14:pctHeight>0</wp14:pctHeight>
            </wp14:sizeRelV>
          </wp:anchor>
        </w:drawing>
      </w:r>
      <w:r w:rsidR="00AF48F5">
        <w:rPr>
          <w:rFonts w:ascii="Open Sans SemiBold" w:hAnsi="Open Sans SemiBold" w:cs="Open Sans SemiBold"/>
          <w:sz w:val="28"/>
          <w:szCs w:val="28"/>
          <w:u w:val="single"/>
        </w:rPr>
        <w:t>Getting Started with Next Level Ag</w:t>
      </w:r>
    </w:p>
    <w:p w14:paraId="50E3F105" w14:textId="0513142F" w:rsidR="008B40F2" w:rsidRPr="00EA3FCE" w:rsidRDefault="008B40F2" w:rsidP="00EA3FCE">
      <w:pPr>
        <w:ind w:left="360"/>
        <w:rPr>
          <w:rFonts w:ascii="Open Sans Light" w:hAnsi="Open Sans Light" w:cs="Open Sans Light"/>
        </w:rPr>
      </w:pPr>
    </w:p>
    <w:p w14:paraId="0A251532" w14:textId="29EA2256" w:rsidR="00FD0BD5" w:rsidRPr="00AF48F5" w:rsidRDefault="00AF48F5" w:rsidP="00FD0BD5">
      <w:pPr>
        <w:rPr>
          <w:rFonts w:ascii="Open Sans Light" w:hAnsi="Open Sans Light" w:cs="Open Sans Light"/>
          <w:sz w:val="20"/>
          <w:szCs w:val="20"/>
          <w:u w:val="single"/>
        </w:rPr>
      </w:pPr>
      <w:r w:rsidRPr="00AF48F5">
        <w:rPr>
          <w:rFonts w:ascii="Open Sans Light" w:hAnsi="Open Sans Light" w:cs="Open Sans Light"/>
          <w:sz w:val="20"/>
          <w:szCs w:val="20"/>
          <w:u w:val="single"/>
        </w:rPr>
        <w:t>*Step 1: Field Boundaries</w:t>
      </w:r>
    </w:p>
    <w:p w14:paraId="163411EA" w14:textId="5AC21F79" w:rsidR="00AF48F5" w:rsidRDefault="00AF48F5" w:rsidP="00FD0BD5">
      <w:pPr>
        <w:rPr>
          <w:rFonts w:ascii="Open Sans Light" w:hAnsi="Open Sans Light" w:cs="Open Sans Light"/>
          <w:sz w:val="20"/>
          <w:szCs w:val="20"/>
        </w:rPr>
      </w:pPr>
      <w:r>
        <w:rPr>
          <w:rFonts w:ascii="Open Sans Light" w:hAnsi="Open Sans Light" w:cs="Open Sans Light"/>
          <w:sz w:val="20"/>
          <w:szCs w:val="20"/>
        </w:rPr>
        <w:tab/>
        <w:t xml:space="preserve">To get started mapping with NL Ag the first step will be to provide field boundaries. This can be done through shapefiles, FSA maps, or legal descriptions. </w:t>
      </w:r>
      <w:r w:rsidR="007864AE">
        <w:rPr>
          <w:rFonts w:ascii="Open Sans Light" w:hAnsi="Open Sans Light" w:cs="Open Sans Light"/>
          <w:sz w:val="20"/>
          <w:szCs w:val="20"/>
        </w:rPr>
        <w:t>Shapefiles are the preferred method but not necessary. NL Ag Just needs to have a good idea of where the field is and what it looks like.</w:t>
      </w:r>
    </w:p>
    <w:p w14:paraId="3422D1FE" w14:textId="6E2ABB3F" w:rsidR="00AF48F5" w:rsidRPr="00AF48F5" w:rsidRDefault="00AF48F5" w:rsidP="00FD0BD5">
      <w:pPr>
        <w:rPr>
          <w:rFonts w:ascii="Open Sans Light" w:hAnsi="Open Sans Light" w:cs="Open Sans Light"/>
          <w:sz w:val="20"/>
          <w:szCs w:val="20"/>
          <w:u w:val="single"/>
        </w:rPr>
      </w:pPr>
      <w:r w:rsidRPr="00AF48F5">
        <w:rPr>
          <w:rFonts w:ascii="Open Sans Light" w:hAnsi="Open Sans Light" w:cs="Open Sans Light"/>
          <w:sz w:val="20"/>
          <w:szCs w:val="20"/>
          <w:u w:val="single"/>
        </w:rPr>
        <w:t>*Step 2 Map Creation</w:t>
      </w:r>
    </w:p>
    <w:p w14:paraId="785E622F" w14:textId="679A4B39" w:rsidR="00AF48F5" w:rsidRDefault="00AF48F5" w:rsidP="00FD0BD5">
      <w:pPr>
        <w:rPr>
          <w:rFonts w:ascii="Open Sans Light" w:hAnsi="Open Sans Light" w:cs="Open Sans Light"/>
          <w:sz w:val="20"/>
          <w:szCs w:val="20"/>
        </w:rPr>
      </w:pPr>
      <w:r>
        <w:rPr>
          <w:rFonts w:ascii="Open Sans Light" w:hAnsi="Open Sans Light" w:cs="Open Sans Light"/>
          <w:sz w:val="20"/>
          <w:szCs w:val="20"/>
        </w:rPr>
        <w:tab/>
        <w:t>This step is done exclusively by NL Ag Mapping/Script Team. Soil imagery/topography/elevation/water movement layers are combined to make the most accurate map for the grower’s field.</w:t>
      </w:r>
    </w:p>
    <w:p w14:paraId="572AFB10" w14:textId="643E58DF" w:rsidR="00AF48F5" w:rsidRDefault="00AF48F5" w:rsidP="00FD0BD5">
      <w:pPr>
        <w:rPr>
          <w:rFonts w:ascii="Open Sans Light" w:hAnsi="Open Sans Light" w:cs="Open Sans Light"/>
          <w:sz w:val="20"/>
          <w:szCs w:val="20"/>
          <w:u w:val="single"/>
        </w:rPr>
      </w:pPr>
      <w:r w:rsidRPr="00AF48F5">
        <w:rPr>
          <w:rFonts w:ascii="Open Sans Light" w:hAnsi="Open Sans Light" w:cs="Open Sans Light"/>
          <w:sz w:val="20"/>
          <w:szCs w:val="20"/>
          <w:u w:val="single"/>
        </w:rPr>
        <w:t>*Step 3 Map Overview</w:t>
      </w:r>
    </w:p>
    <w:p w14:paraId="46E43CC7" w14:textId="79A71D70" w:rsidR="007864AE" w:rsidRPr="007864AE" w:rsidRDefault="007864AE" w:rsidP="00FD0BD5">
      <w:pPr>
        <w:rPr>
          <w:rFonts w:ascii="Open Sans Light" w:hAnsi="Open Sans Light" w:cs="Open Sans Light"/>
          <w:sz w:val="20"/>
          <w:szCs w:val="20"/>
        </w:rPr>
      </w:pPr>
      <w:r>
        <w:rPr>
          <w:rFonts w:ascii="Open Sans Light" w:hAnsi="Open Sans Light" w:cs="Open Sans Light"/>
          <w:sz w:val="20"/>
          <w:szCs w:val="20"/>
        </w:rPr>
        <w:tab/>
        <w:t>After the map is made it will be emailed back to the grower for overview and needed changes if necessary. When the map fits the field well, sample points are created by NL Ag.</w:t>
      </w:r>
    </w:p>
    <w:p w14:paraId="14F68371" w14:textId="1B21380B" w:rsidR="00AF48F5" w:rsidRDefault="00AF48F5" w:rsidP="00FD0BD5">
      <w:pPr>
        <w:rPr>
          <w:rFonts w:ascii="Open Sans Light" w:hAnsi="Open Sans Light" w:cs="Open Sans Light"/>
          <w:sz w:val="20"/>
          <w:szCs w:val="20"/>
          <w:u w:val="single"/>
        </w:rPr>
      </w:pPr>
      <w:r w:rsidRPr="00AF48F5">
        <w:rPr>
          <w:rFonts w:ascii="Open Sans Light" w:hAnsi="Open Sans Light" w:cs="Open Sans Light"/>
          <w:sz w:val="20"/>
          <w:szCs w:val="20"/>
          <w:u w:val="single"/>
        </w:rPr>
        <w:t>*Step 4 Soil Sampling</w:t>
      </w:r>
    </w:p>
    <w:p w14:paraId="646FB644" w14:textId="49DEC8E3" w:rsidR="007864AE" w:rsidRDefault="007864AE" w:rsidP="00FD0BD5">
      <w:pPr>
        <w:rPr>
          <w:rFonts w:ascii="Open Sans Light" w:hAnsi="Open Sans Light" w:cs="Open Sans Light"/>
          <w:sz w:val="20"/>
          <w:szCs w:val="20"/>
        </w:rPr>
      </w:pPr>
      <w:r>
        <w:rPr>
          <w:rFonts w:ascii="Open Sans Light" w:hAnsi="Open Sans Light" w:cs="Open Sans Light"/>
          <w:sz w:val="20"/>
          <w:szCs w:val="20"/>
        </w:rPr>
        <w:tab/>
        <w:t xml:space="preserve">3-5 zones are typically soil sampled with NL Ag Maps. Sample points can be sent in shapefiles to whomever is providing the sampling services. If the grower wishes to sample his/her own field, NL Ag can help set up an EFC Explorer account or provide shapefiles to be input into a sampling platform of the growers choosing. </w:t>
      </w:r>
    </w:p>
    <w:p w14:paraId="02CD97B1" w14:textId="56CDEDF0" w:rsidR="007864AE" w:rsidRPr="007864AE" w:rsidRDefault="007864AE" w:rsidP="00FD0BD5">
      <w:pPr>
        <w:rPr>
          <w:rFonts w:ascii="Open Sans Light" w:hAnsi="Open Sans Light" w:cs="Open Sans Light"/>
          <w:sz w:val="20"/>
          <w:szCs w:val="20"/>
        </w:rPr>
      </w:pPr>
      <w:r>
        <w:rPr>
          <w:rFonts w:ascii="Open Sans Light" w:hAnsi="Open Sans Light" w:cs="Open Sans Light"/>
          <w:sz w:val="20"/>
          <w:szCs w:val="20"/>
        </w:rPr>
        <w:tab/>
        <w:t xml:space="preserve">0-6” samples are typical for an </w:t>
      </w:r>
      <w:r w:rsidR="000D5772">
        <w:rPr>
          <w:rFonts w:ascii="Open Sans Light" w:hAnsi="Open Sans Light" w:cs="Open Sans Light"/>
          <w:sz w:val="20"/>
          <w:szCs w:val="20"/>
        </w:rPr>
        <w:t>I</w:t>
      </w:r>
      <w:r>
        <w:rPr>
          <w:rFonts w:ascii="Open Sans Light" w:hAnsi="Open Sans Light" w:cs="Open Sans Light"/>
          <w:sz w:val="20"/>
          <w:szCs w:val="20"/>
        </w:rPr>
        <w:t xml:space="preserve">ndicator </w:t>
      </w:r>
      <w:r w:rsidR="000D5772">
        <w:rPr>
          <w:rFonts w:ascii="Open Sans Light" w:hAnsi="Open Sans Light" w:cs="Open Sans Light"/>
          <w:sz w:val="20"/>
          <w:szCs w:val="20"/>
        </w:rPr>
        <w:t>C</w:t>
      </w:r>
      <w:r>
        <w:rPr>
          <w:rFonts w:ascii="Open Sans Light" w:hAnsi="Open Sans Light" w:cs="Open Sans Light"/>
          <w:sz w:val="20"/>
          <w:szCs w:val="20"/>
        </w:rPr>
        <w:t xml:space="preserve">omplete </w:t>
      </w:r>
      <w:r w:rsidR="000D5772">
        <w:rPr>
          <w:rFonts w:ascii="Open Sans Light" w:hAnsi="Open Sans Light" w:cs="Open Sans Light"/>
          <w:sz w:val="20"/>
          <w:szCs w:val="20"/>
        </w:rPr>
        <w:t>Analysis and 6-12” samples for Subsurface</w:t>
      </w:r>
      <w:r>
        <w:rPr>
          <w:rFonts w:ascii="Open Sans Light" w:hAnsi="Open Sans Light" w:cs="Open Sans Light"/>
          <w:sz w:val="20"/>
          <w:szCs w:val="20"/>
        </w:rPr>
        <w:t>. 0-12” or 6-24” deep cores are also available upon request.</w:t>
      </w:r>
    </w:p>
    <w:p w14:paraId="36F2AC75" w14:textId="596CA4F5" w:rsidR="00AF48F5" w:rsidRDefault="00AF48F5" w:rsidP="00FD0BD5">
      <w:pPr>
        <w:rPr>
          <w:rFonts w:ascii="Open Sans Light" w:hAnsi="Open Sans Light" w:cs="Open Sans Light"/>
          <w:sz w:val="20"/>
          <w:szCs w:val="20"/>
          <w:u w:val="single"/>
        </w:rPr>
      </w:pPr>
      <w:r w:rsidRPr="00AF48F5">
        <w:rPr>
          <w:rFonts w:ascii="Open Sans Light" w:hAnsi="Open Sans Light" w:cs="Open Sans Light"/>
          <w:sz w:val="20"/>
          <w:szCs w:val="20"/>
          <w:u w:val="single"/>
        </w:rPr>
        <w:t xml:space="preserve">*Step 5 </w:t>
      </w:r>
      <w:r w:rsidR="007864AE">
        <w:rPr>
          <w:rFonts w:ascii="Open Sans Light" w:hAnsi="Open Sans Light" w:cs="Open Sans Light"/>
          <w:sz w:val="20"/>
          <w:szCs w:val="20"/>
          <w:u w:val="single"/>
        </w:rPr>
        <w:t>Sending off Samples for Analysis</w:t>
      </w:r>
    </w:p>
    <w:p w14:paraId="681580DC" w14:textId="353EA41B" w:rsidR="00117615" w:rsidRDefault="007864AE" w:rsidP="00FD0BD5">
      <w:pPr>
        <w:rPr>
          <w:rFonts w:ascii="Open Sans Light" w:hAnsi="Open Sans Light" w:cs="Open Sans Light"/>
          <w:sz w:val="20"/>
          <w:szCs w:val="20"/>
        </w:rPr>
      </w:pPr>
      <w:r>
        <w:rPr>
          <w:rFonts w:ascii="Open Sans Light" w:hAnsi="Open Sans Light" w:cs="Open Sans Light"/>
          <w:sz w:val="20"/>
          <w:szCs w:val="20"/>
        </w:rPr>
        <w:tab/>
        <w:t xml:space="preserve">Once sample have been taken, </w:t>
      </w:r>
      <w:r w:rsidR="000D5772">
        <w:rPr>
          <w:rFonts w:ascii="Open Sans Light" w:hAnsi="Open Sans Light" w:cs="Open Sans Light"/>
          <w:sz w:val="20"/>
          <w:szCs w:val="20"/>
        </w:rPr>
        <w:t>g</w:t>
      </w:r>
      <w:r w:rsidR="000D5772">
        <w:rPr>
          <w:rFonts w:ascii="Open Sans Light" w:hAnsi="Open Sans Light" w:cs="Open Sans Light"/>
          <w:sz w:val="20"/>
          <w:szCs w:val="20"/>
        </w:rPr>
        <w:t>rower</w:t>
      </w:r>
      <w:r w:rsidR="000D5772">
        <w:rPr>
          <w:rFonts w:ascii="Open Sans Light" w:hAnsi="Open Sans Light" w:cs="Open Sans Light"/>
          <w:sz w:val="20"/>
          <w:szCs w:val="20"/>
        </w:rPr>
        <w:t>s</w:t>
      </w:r>
      <w:r w:rsidR="000D5772">
        <w:rPr>
          <w:rFonts w:ascii="Open Sans Light" w:hAnsi="Open Sans Light" w:cs="Open Sans Light"/>
          <w:sz w:val="20"/>
          <w:szCs w:val="20"/>
        </w:rPr>
        <w:t xml:space="preserve"> will need to log </w:t>
      </w:r>
      <w:r w:rsidR="000D5772">
        <w:rPr>
          <w:rFonts w:ascii="Open Sans Light" w:hAnsi="Open Sans Light" w:cs="Open Sans Light"/>
          <w:sz w:val="20"/>
          <w:szCs w:val="20"/>
        </w:rPr>
        <w:t xml:space="preserve">the </w:t>
      </w:r>
      <w:r w:rsidR="000D5772">
        <w:rPr>
          <w:rFonts w:ascii="Open Sans Light" w:hAnsi="Open Sans Light" w:cs="Open Sans Light"/>
          <w:sz w:val="20"/>
          <w:szCs w:val="20"/>
        </w:rPr>
        <w:t xml:space="preserve">samples </w:t>
      </w:r>
      <w:r w:rsidR="000D5772">
        <w:rPr>
          <w:rFonts w:ascii="Open Sans Light" w:hAnsi="Open Sans Light" w:cs="Open Sans Light"/>
          <w:sz w:val="20"/>
          <w:szCs w:val="20"/>
        </w:rPr>
        <w:t>into</w:t>
      </w:r>
      <w:r w:rsidR="000D5772">
        <w:rPr>
          <w:rFonts w:ascii="Open Sans Light" w:hAnsi="Open Sans Light" w:cs="Open Sans Light"/>
          <w:sz w:val="20"/>
          <w:szCs w:val="20"/>
        </w:rPr>
        <w:t xml:space="preserve"> the NL Ag dashboard </w:t>
      </w:r>
      <w:r w:rsidR="000D5772">
        <w:rPr>
          <w:rFonts w:ascii="Open Sans Light" w:hAnsi="Open Sans Light" w:cs="Open Sans Light"/>
          <w:sz w:val="20"/>
          <w:szCs w:val="20"/>
        </w:rPr>
        <w:t>by</w:t>
      </w:r>
      <w:r w:rsidR="000D5772">
        <w:rPr>
          <w:rFonts w:ascii="Open Sans Light" w:hAnsi="Open Sans Light" w:cs="Open Sans Light"/>
          <w:sz w:val="20"/>
          <w:szCs w:val="20"/>
        </w:rPr>
        <w:t xml:space="preserve"> provid</w:t>
      </w:r>
      <w:r w:rsidR="000D5772">
        <w:rPr>
          <w:rFonts w:ascii="Open Sans Light" w:hAnsi="Open Sans Light" w:cs="Open Sans Light"/>
          <w:sz w:val="20"/>
          <w:szCs w:val="20"/>
        </w:rPr>
        <w:t>ing</w:t>
      </w:r>
      <w:r w:rsidR="000D5772">
        <w:rPr>
          <w:rFonts w:ascii="Open Sans Light" w:hAnsi="Open Sans Light" w:cs="Open Sans Light"/>
          <w:sz w:val="20"/>
          <w:szCs w:val="20"/>
        </w:rPr>
        <w:t xml:space="preserve"> name, billing address, email, and phone number to be entered into the database. </w:t>
      </w:r>
      <w:r w:rsidR="000D5772">
        <w:rPr>
          <w:rFonts w:ascii="Open Sans Light" w:hAnsi="Open Sans Light" w:cs="Open Sans Light"/>
          <w:sz w:val="20"/>
          <w:szCs w:val="20"/>
        </w:rPr>
        <w:t xml:space="preserve">This will ensure the lab knows your sample is on its way and can be analyzed sooner. Once this has been completed, samples </w:t>
      </w:r>
      <w:r>
        <w:rPr>
          <w:rFonts w:ascii="Open Sans Light" w:hAnsi="Open Sans Light" w:cs="Open Sans Light"/>
          <w:sz w:val="20"/>
          <w:szCs w:val="20"/>
        </w:rPr>
        <w:t xml:space="preserve">can be sent to NL Ag Labs for analysis. Samples will need to be stored in paper bags and marked clearly. Grower name, field name, zone sampled, and sample depth will need to be marked on each bag. </w:t>
      </w:r>
      <w:r w:rsidR="00117615">
        <w:rPr>
          <w:rFonts w:ascii="Open Sans Light" w:hAnsi="Open Sans Light" w:cs="Open Sans Light"/>
          <w:sz w:val="20"/>
          <w:szCs w:val="20"/>
        </w:rPr>
        <w:t xml:space="preserve">Samples can then be packaged in a box and sent to. </w:t>
      </w:r>
    </w:p>
    <w:p w14:paraId="1E14C1BC" w14:textId="7FB370F4" w:rsidR="00117615" w:rsidRDefault="00117615" w:rsidP="00117615">
      <w:pPr>
        <w:jc w:val="center"/>
        <w:rPr>
          <w:rFonts w:ascii="Open Sans Light" w:hAnsi="Open Sans Light" w:cs="Open Sans Light"/>
          <w:sz w:val="20"/>
          <w:szCs w:val="20"/>
        </w:rPr>
      </w:pPr>
      <w:r>
        <w:rPr>
          <w:rFonts w:ascii="Open Sans Light" w:hAnsi="Open Sans Light" w:cs="Open Sans Light"/>
          <w:sz w:val="20"/>
          <w:szCs w:val="20"/>
        </w:rPr>
        <w:t>Next Level Ag Labs</w:t>
      </w:r>
    </w:p>
    <w:p w14:paraId="22012EDD" w14:textId="551AEF72" w:rsidR="00117615" w:rsidRDefault="00117615" w:rsidP="00117615">
      <w:pPr>
        <w:jc w:val="center"/>
        <w:rPr>
          <w:rFonts w:ascii="Open Sans Light" w:hAnsi="Open Sans Light" w:cs="Open Sans Light"/>
          <w:sz w:val="20"/>
          <w:szCs w:val="20"/>
        </w:rPr>
      </w:pPr>
      <w:r>
        <w:rPr>
          <w:rFonts w:ascii="Open Sans Light" w:hAnsi="Open Sans Light" w:cs="Open Sans Light"/>
          <w:sz w:val="20"/>
          <w:szCs w:val="20"/>
        </w:rPr>
        <w:t>617 Pine Ave. N</w:t>
      </w:r>
    </w:p>
    <w:p w14:paraId="0560C930" w14:textId="63DCAD7B" w:rsidR="00117615" w:rsidRDefault="00117615" w:rsidP="00117615">
      <w:pPr>
        <w:jc w:val="center"/>
        <w:rPr>
          <w:rFonts w:ascii="Open Sans Light" w:hAnsi="Open Sans Light" w:cs="Open Sans Light"/>
          <w:sz w:val="20"/>
          <w:szCs w:val="20"/>
        </w:rPr>
      </w:pPr>
      <w:r>
        <w:rPr>
          <w:rFonts w:ascii="Open Sans Light" w:hAnsi="Open Sans Light" w:cs="Open Sans Light"/>
          <w:sz w:val="20"/>
          <w:szCs w:val="20"/>
        </w:rPr>
        <w:t>Alpena SD, 57312</w:t>
      </w:r>
    </w:p>
    <w:p w14:paraId="33AB23E6" w14:textId="6FDD45B1" w:rsidR="00117615" w:rsidRDefault="00117615" w:rsidP="00117615">
      <w:pPr>
        <w:rPr>
          <w:rFonts w:ascii="Open Sans Light" w:hAnsi="Open Sans Light" w:cs="Open Sans Light"/>
          <w:sz w:val="20"/>
          <w:szCs w:val="20"/>
          <w:u w:val="single"/>
        </w:rPr>
      </w:pPr>
      <w:r w:rsidRPr="00117615">
        <w:rPr>
          <w:rFonts w:ascii="Open Sans Light" w:hAnsi="Open Sans Light" w:cs="Open Sans Light"/>
          <w:sz w:val="20"/>
          <w:szCs w:val="20"/>
          <w:u w:val="single"/>
        </w:rPr>
        <w:t>*Fertilizer Recommendations</w:t>
      </w:r>
    </w:p>
    <w:p w14:paraId="16C782D3" w14:textId="386E4B5B" w:rsidR="00117615" w:rsidRDefault="00117615" w:rsidP="00117615">
      <w:pPr>
        <w:rPr>
          <w:rFonts w:ascii="Open Sans Light" w:hAnsi="Open Sans Light" w:cs="Open Sans Light"/>
          <w:sz w:val="20"/>
          <w:szCs w:val="20"/>
        </w:rPr>
      </w:pPr>
      <w:r>
        <w:rPr>
          <w:rFonts w:ascii="Open Sans Light" w:hAnsi="Open Sans Light" w:cs="Open Sans Light"/>
          <w:sz w:val="20"/>
          <w:szCs w:val="20"/>
        </w:rPr>
        <w:tab/>
        <w:t xml:space="preserve">After analysis has been run on samples, fertilizer recommendations can be made. NL Ag will need the provided fertilizer information sheet filled out. This will include field name, previous crop, intended crop, yield goals (average, high, and low), type of fertilizer (Example: Urea, UAN28%, </w:t>
      </w:r>
      <w:r>
        <w:rPr>
          <w:rFonts w:ascii="Open Sans Light" w:hAnsi="Open Sans Light" w:cs="Open Sans Light"/>
          <w:sz w:val="20"/>
          <w:szCs w:val="20"/>
        </w:rPr>
        <w:lastRenderedPageBreak/>
        <w:t xml:space="preserve">Anhydrous), fertilizer placement and method (Broadcast, banded, in-furrow), and fertilizer cost (not necessary). </w:t>
      </w:r>
    </w:p>
    <w:p w14:paraId="6DFD1862" w14:textId="0FBC2F51" w:rsidR="00117615" w:rsidRDefault="00117615" w:rsidP="00117615">
      <w:pPr>
        <w:rPr>
          <w:rFonts w:ascii="Open Sans Light" w:hAnsi="Open Sans Light" w:cs="Open Sans Light"/>
          <w:sz w:val="20"/>
          <w:szCs w:val="20"/>
          <w:u w:val="single"/>
        </w:rPr>
      </w:pPr>
      <w:r>
        <w:rPr>
          <w:rFonts w:ascii="Open Sans Light" w:hAnsi="Open Sans Light" w:cs="Open Sans Light"/>
          <w:sz w:val="20"/>
          <w:szCs w:val="20"/>
          <w:u w:val="single"/>
        </w:rPr>
        <w:t>*Sending Script Shapefiles</w:t>
      </w:r>
    </w:p>
    <w:p w14:paraId="416FF8E3" w14:textId="3F2A7F7E" w:rsidR="00117615" w:rsidRPr="00117615" w:rsidRDefault="00117615" w:rsidP="00117615">
      <w:pPr>
        <w:rPr>
          <w:rFonts w:ascii="Open Sans Light" w:hAnsi="Open Sans Light" w:cs="Open Sans Light"/>
          <w:sz w:val="20"/>
          <w:szCs w:val="20"/>
        </w:rPr>
      </w:pPr>
      <w:r>
        <w:rPr>
          <w:rFonts w:ascii="Open Sans Light" w:hAnsi="Open Sans Light" w:cs="Open Sans Light"/>
          <w:sz w:val="20"/>
          <w:szCs w:val="20"/>
        </w:rPr>
        <w:tab/>
        <w:t>After scripts are made, they will need to be sent to the grower or directly to the monitor. NL Ag t</w:t>
      </w:r>
      <w:r w:rsidR="000D5772">
        <w:rPr>
          <w:rFonts w:ascii="Open Sans Light" w:hAnsi="Open Sans Light" w:cs="Open Sans Light"/>
          <w:sz w:val="20"/>
          <w:szCs w:val="20"/>
        </w:rPr>
        <w:t>e</w:t>
      </w:r>
      <w:r>
        <w:rPr>
          <w:rFonts w:ascii="Open Sans Light" w:hAnsi="Open Sans Light" w:cs="Open Sans Light"/>
          <w:sz w:val="20"/>
          <w:szCs w:val="20"/>
        </w:rPr>
        <w:t>am will need to know what type of machine and monitor the scripts will be loaded into.</w:t>
      </w:r>
    </w:p>
    <w:p w14:paraId="5261B241" w14:textId="6795A14A" w:rsidR="00FD0BD5" w:rsidRPr="00FD0BD5" w:rsidRDefault="00FD0BD5" w:rsidP="00FD0BD5">
      <w:pPr>
        <w:pStyle w:val="ListParagraph"/>
        <w:rPr>
          <w:rFonts w:ascii="Open Sans Light" w:hAnsi="Open Sans Light" w:cs="Open Sans Light"/>
          <w:sz w:val="20"/>
          <w:szCs w:val="20"/>
        </w:rPr>
      </w:pPr>
    </w:p>
    <w:sectPr w:rsidR="00FD0BD5" w:rsidRPr="00FD0B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4C3E" w14:textId="77777777" w:rsidR="0000555F" w:rsidRDefault="0000555F">
      <w:pPr>
        <w:spacing w:after="0" w:line="240" w:lineRule="auto"/>
      </w:pPr>
      <w:r>
        <w:separator/>
      </w:r>
    </w:p>
  </w:endnote>
  <w:endnote w:type="continuationSeparator" w:id="0">
    <w:p w14:paraId="566C6460" w14:textId="77777777" w:rsidR="0000555F" w:rsidRDefault="000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45E3" w14:textId="101A56C3" w:rsidR="00117615" w:rsidRDefault="00117615">
    <w:pPr>
      <w:pStyle w:val="Footer"/>
    </w:pPr>
    <w:r w:rsidRPr="005C0EE1">
      <w:rPr>
        <w:rFonts w:ascii="Open Sans Light" w:hAnsi="Open Sans Light" w:cs="Open Sans Light"/>
        <w:noProof/>
      </w:rPr>
      <w:drawing>
        <wp:anchor distT="0" distB="0" distL="114300" distR="114300" simplePos="0" relativeHeight="251659264" behindDoc="1" locked="0" layoutInCell="1" allowOverlap="1" wp14:anchorId="5D7F2B5D" wp14:editId="35BD3D57">
          <wp:simplePos x="0" y="0"/>
          <wp:positionH relativeFrom="column">
            <wp:posOffset>5086350</wp:posOffset>
          </wp:positionH>
          <wp:positionV relativeFrom="paragraph">
            <wp:posOffset>-152400</wp:posOffset>
          </wp:positionV>
          <wp:extent cx="1628775" cy="6171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 NLAG Color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171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1219" w14:textId="77777777" w:rsidR="0000555F" w:rsidRDefault="0000555F">
      <w:pPr>
        <w:spacing w:after="0" w:line="240" w:lineRule="auto"/>
      </w:pPr>
      <w:r>
        <w:separator/>
      </w:r>
    </w:p>
  </w:footnote>
  <w:footnote w:type="continuationSeparator" w:id="0">
    <w:p w14:paraId="05F701DB" w14:textId="77777777" w:rsidR="0000555F" w:rsidRDefault="000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92D" w14:textId="77777777" w:rsidR="00A01937" w:rsidRDefault="007248AA">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18DF"/>
    <w:multiLevelType w:val="hybridMultilevel"/>
    <w:tmpl w:val="4EC0ACD8"/>
    <w:lvl w:ilvl="0" w:tplc="89F28CAC">
      <w:start w:val="1"/>
      <w:numFmt w:val="bullet"/>
      <w:lvlText w:val="-"/>
      <w:lvlJc w:val="left"/>
      <w:pPr>
        <w:ind w:left="1080" w:hanging="360"/>
      </w:pPr>
      <w:rPr>
        <w:rFonts w:ascii="Open Sans Light" w:eastAsiaTheme="minorHAnsi" w:hAnsi="Open Sans Light" w:cs="Open Sans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421564"/>
    <w:multiLevelType w:val="hybridMultilevel"/>
    <w:tmpl w:val="E7A2F27A"/>
    <w:lvl w:ilvl="0" w:tplc="16C6ECEE">
      <w:start w:val="617"/>
      <w:numFmt w:val="bullet"/>
      <w:lvlText w:val=""/>
      <w:lvlJc w:val="left"/>
      <w:pPr>
        <w:ind w:left="720" w:hanging="360"/>
      </w:pPr>
      <w:rPr>
        <w:rFonts w:ascii="Symbol" w:eastAsiaTheme="minorHAnsi" w:hAnsi="Symbol"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F5D08"/>
    <w:multiLevelType w:val="hybridMultilevel"/>
    <w:tmpl w:val="460E0CF8"/>
    <w:lvl w:ilvl="0" w:tplc="FFA4F1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74B00"/>
    <w:multiLevelType w:val="hybridMultilevel"/>
    <w:tmpl w:val="014C40C0"/>
    <w:lvl w:ilvl="0" w:tplc="268C31C8">
      <w:start w:val="1"/>
      <w:numFmt w:val="decimal"/>
      <w:lvlText w:val="%1)"/>
      <w:lvlJc w:val="left"/>
      <w:pPr>
        <w:ind w:left="720" w:hanging="360"/>
      </w:pPr>
      <w:rPr>
        <w:rFonts w:ascii="Open Sans Light" w:hAnsi="Open Sans Light" w:cs="Open Sans Light" w:hint="default"/>
        <w:sz w:val="24"/>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D5A2483A">
      <w:start w:val="1"/>
      <w:numFmt w:val="bullet"/>
      <w:lvlText w:val=""/>
      <w:lvlJc w:val="left"/>
      <w:pPr>
        <w:ind w:left="2880" w:hanging="360"/>
      </w:pPr>
      <w:rPr>
        <w:rFonts w:ascii="Symbol" w:eastAsiaTheme="minorHAnsi" w:hAnsi="Symbol" w:cs="Open Sans Ligh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E1743"/>
    <w:multiLevelType w:val="hybridMultilevel"/>
    <w:tmpl w:val="FE4C5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69"/>
    <w:rsid w:val="0000555F"/>
    <w:rsid w:val="00060918"/>
    <w:rsid w:val="000D5772"/>
    <w:rsid w:val="00117615"/>
    <w:rsid w:val="003E361C"/>
    <w:rsid w:val="004F7101"/>
    <w:rsid w:val="0058275D"/>
    <w:rsid w:val="00586E02"/>
    <w:rsid w:val="005C0EE1"/>
    <w:rsid w:val="00607CFC"/>
    <w:rsid w:val="006F48DD"/>
    <w:rsid w:val="007248AA"/>
    <w:rsid w:val="007864AE"/>
    <w:rsid w:val="008B40F2"/>
    <w:rsid w:val="00A7780C"/>
    <w:rsid w:val="00AC703C"/>
    <w:rsid w:val="00AD05F7"/>
    <w:rsid w:val="00AF48F5"/>
    <w:rsid w:val="00C03FC2"/>
    <w:rsid w:val="00C544D2"/>
    <w:rsid w:val="00D6183E"/>
    <w:rsid w:val="00E40ECD"/>
    <w:rsid w:val="00E83D2D"/>
    <w:rsid w:val="00EA3FCE"/>
    <w:rsid w:val="00ED3469"/>
    <w:rsid w:val="00EF3F19"/>
    <w:rsid w:val="00F10D94"/>
    <w:rsid w:val="00F572B4"/>
    <w:rsid w:val="00FB5F00"/>
    <w:rsid w:val="00FD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EA05"/>
  <w15:chartTrackingRefBased/>
  <w15:docId w15:val="{10C2D3E7-EF13-497F-B099-31B4DA0B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69"/>
    <w:pPr>
      <w:ind w:left="720"/>
      <w:contextualSpacing/>
    </w:pPr>
  </w:style>
  <w:style w:type="paragraph" w:styleId="Header">
    <w:name w:val="header"/>
    <w:basedOn w:val="Normal"/>
    <w:link w:val="HeaderChar"/>
    <w:uiPriority w:val="99"/>
    <w:unhideWhenUsed/>
    <w:rsid w:val="00ED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69"/>
  </w:style>
  <w:style w:type="paragraph" w:styleId="Footer">
    <w:name w:val="footer"/>
    <w:basedOn w:val="Normal"/>
    <w:link w:val="FooterChar"/>
    <w:uiPriority w:val="99"/>
    <w:unhideWhenUsed/>
    <w:rsid w:val="0011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Weber</dc:creator>
  <cp:keywords/>
  <dc:description/>
  <cp:lastModifiedBy>Jordon Leighton</cp:lastModifiedBy>
  <cp:revision>2</cp:revision>
  <dcterms:created xsi:type="dcterms:W3CDTF">2021-09-02T14:17:00Z</dcterms:created>
  <dcterms:modified xsi:type="dcterms:W3CDTF">2021-09-02T14:17:00Z</dcterms:modified>
</cp:coreProperties>
</file>